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BA" w:rsidRPr="00D32DBA" w:rsidRDefault="00D32DBA" w:rsidP="00D32DBA">
      <w:pPr>
        <w:autoSpaceDE w:val="0"/>
        <w:spacing w:line="560" w:lineRule="exact"/>
        <w:ind w:firstLineChars="400" w:firstLine="1446"/>
        <w:rPr>
          <w:rFonts w:ascii="黑体" w:eastAsia="黑体" w:hAnsi="黑体" w:hint="eastAsia"/>
          <w:b/>
          <w:sz w:val="36"/>
          <w:szCs w:val="36"/>
        </w:rPr>
      </w:pPr>
      <w:r w:rsidRPr="00D32DBA">
        <w:rPr>
          <w:rFonts w:ascii="黑体" w:eastAsia="黑体" w:hAnsi="黑体" w:hint="eastAsia"/>
          <w:b/>
          <w:sz w:val="36"/>
          <w:szCs w:val="36"/>
        </w:rPr>
        <w:t>湖南科技学院全民所有制企业改制方案</w:t>
      </w:r>
    </w:p>
    <w:p w:rsidR="00D32DBA" w:rsidRPr="00D32DBA" w:rsidRDefault="00D32DBA" w:rsidP="00D32DBA">
      <w:pPr>
        <w:autoSpaceDE w:val="0"/>
        <w:spacing w:line="560" w:lineRule="exact"/>
        <w:ind w:firstLineChars="400" w:firstLine="1441"/>
        <w:rPr>
          <w:rFonts w:ascii="华文仿宋" w:eastAsia="华文仿宋" w:hAnsi="华文仿宋" w:hint="eastAsia"/>
          <w:b/>
          <w:sz w:val="36"/>
          <w:szCs w:val="36"/>
        </w:rPr>
      </w:pPr>
    </w:p>
    <w:p w:rsidR="00D32DBA" w:rsidRPr="00F47DEC" w:rsidRDefault="00D32DBA" w:rsidP="00D32DBA">
      <w:pPr>
        <w:autoSpaceDE w:val="0"/>
        <w:spacing w:line="560" w:lineRule="exact"/>
        <w:rPr>
          <w:rFonts w:ascii="仿宋_GB2312" w:hAnsi="仿宋_GB2312" w:hint="eastAsia"/>
          <w:b/>
          <w:sz w:val="32"/>
          <w:szCs w:val="32"/>
        </w:rPr>
      </w:pPr>
      <w:r w:rsidRPr="00F47DEC">
        <w:rPr>
          <w:rFonts w:ascii="仿宋_GB2312" w:hAnsi="仿宋_GB2312" w:hint="eastAsia"/>
          <w:b/>
          <w:sz w:val="32"/>
          <w:szCs w:val="32"/>
        </w:rPr>
        <w:t>湖南省教育厅：</w:t>
      </w:r>
    </w:p>
    <w:p w:rsidR="00D32DBA" w:rsidRDefault="00D32DBA" w:rsidP="00D32DBA">
      <w:pPr>
        <w:autoSpaceDE w:val="0"/>
        <w:spacing w:line="560" w:lineRule="exact"/>
        <w:ind w:firstLineChars="200" w:firstLine="640"/>
        <w:rPr>
          <w:rFonts w:ascii="仿宋_GB2312" w:hAnsi="仿宋_GB2312" w:hint="eastAsia"/>
          <w:sz w:val="32"/>
          <w:szCs w:val="32"/>
        </w:rPr>
      </w:pPr>
      <w:r w:rsidRPr="00D32DBA">
        <w:rPr>
          <w:rFonts w:ascii="仿宋_GB2312" w:hAnsi="仿宋_GB2312" w:hint="eastAsia"/>
          <w:sz w:val="32"/>
          <w:szCs w:val="32"/>
        </w:rPr>
        <w:t xml:space="preserve"> </w:t>
      </w:r>
      <w:r w:rsidRPr="00D32DBA">
        <w:rPr>
          <w:rFonts w:ascii="仿宋_GB2312" w:hAnsi="仿宋_GB2312" w:hint="eastAsia"/>
          <w:sz w:val="32"/>
          <w:szCs w:val="32"/>
        </w:rPr>
        <w:t>我校全民所有制企业</w:t>
      </w:r>
      <w:r>
        <w:rPr>
          <w:rFonts w:ascii="仿宋_GB2312" w:hAnsi="仿宋_GB2312"/>
          <w:sz w:val="32"/>
          <w:szCs w:val="32"/>
        </w:rPr>
        <w:t>仅有湖南永大建设工程公司</w:t>
      </w:r>
      <w:r>
        <w:rPr>
          <w:rFonts w:ascii="仿宋_GB2312" w:hAnsi="仿宋_GB2312" w:hint="eastAsia"/>
          <w:sz w:val="32"/>
          <w:szCs w:val="32"/>
        </w:rPr>
        <w:t>，按照《</w:t>
      </w:r>
      <w:r w:rsidR="00F47DEC">
        <w:rPr>
          <w:rFonts w:ascii="仿宋_GB2312" w:hAnsi="仿宋_GB2312" w:hint="eastAsia"/>
          <w:sz w:val="32"/>
          <w:szCs w:val="32"/>
        </w:rPr>
        <w:t>湖南科技学院所属企业体制改革工作</w:t>
      </w:r>
      <w:r>
        <w:rPr>
          <w:rFonts w:ascii="仿宋_GB2312" w:hAnsi="仿宋_GB2312" w:hint="eastAsia"/>
          <w:sz w:val="32"/>
          <w:szCs w:val="32"/>
        </w:rPr>
        <w:t>方案》，</w:t>
      </w:r>
      <w:r>
        <w:rPr>
          <w:rFonts w:ascii="仿宋_GB2312" w:hAnsi="仿宋_GB2312"/>
          <w:sz w:val="32"/>
          <w:szCs w:val="32"/>
        </w:rPr>
        <w:t>正按照注销程序积极推进</w:t>
      </w:r>
      <w:r w:rsidR="00F47DEC">
        <w:rPr>
          <w:rFonts w:ascii="仿宋_GB2312" w:hAnsi="仿宋_GB2312" w:hint="eastAsia"/>
          <w:sz w:val="32"/>
          <w:szCs w:val="32"/>
        </w:rPr>
        <w:t>企业体制改革</w:t>
      </w:r>
      <w:r>
        <w:rPr>
          <w:rFonts w:ascii="仿宋_GB2312" w:hAnsi="仿宋_GB2312"/>
          <w:sz w:val="32"/>
          <w:szCs w:val="32"/>
        </w:rPr>
        <w:t>，不需要按照</w:t>
      </w:r>
      <w:r w:rsidR="00F47DEC">
        <w:rPr>
          <w:rFonts w:ascii="仿宋_GB2312" w:hAnsi="仿宋_GB2312" w:hint="eastAsia"/>
          <w:sz w:val="32"/>
          <w:szCs w:val="32"/>
        </w:rPr>
        <w:t>保留方式进行</w:t>
      </w:r>
      <w:r w:rsidR="00F47DEC">
        <w:rPr>
          <w:rFonts w:ascii="仿宋_GB2312" w:hAnsi="仿宋_GB2312"/>
          <w:sz w:val="32"/>
          <w:szCs w:val="32"/>
        </w:rPr>
        <w:t>现代企业制度</w:t>
      </w:r>
      <w:r>
        <w:rPr>
          <w:rFonts w:ascii="仿宋_GB2312" w:hAnsi="仿宋_GB2312"/>
          <w:sz w:val="32"/>
          <w:szCs w:val="32"/>
        </w:rPr>
        <w:t>所有制改革。湖南永大</w:t>
      </w:r>
      <w:r w:rsidRPr="00F47DEC">
        <w:rPr>
          <w:rFonts w:ascii="仿宋_GB2312" w:hAnsi="仿宋_GB2312"/>
          <w:sz w:val="32"/>
          <w:szCs w:val="32"/>
        </w:rPr>
        <w:t>建设工程公司于</w:t>
      </w:r>
      <w:r w:rsidRPr="00F47DEC">
        <w:rPr>
          <w:rFonts w:ascii="仿宋_GB2312" w:hAnsi="仿宋_GB2312"/>
          <w:sz w:val="32"/>
          <w:szCs w:val="32"/>
        </w:rPr>
        <w:t>1992</w:t>
      </w:r>
      <w:r w:rsidRPr="00F47DEC">
        <w:rPr>
          <w:rFonts w:ascii="仿宋_GB2312" w:hAnsi="仿宋_GB2312"/>
          <w:sz w:val="32"/>
          <w:szCs w:val="32"/>
        </w:rPr>
        <w:t>年</w:t>
      </w:r>
      <w:r w:rsidRPr="00F47DEC">
        <w:rPr>
          <w:rFonts w:ascii="仿宋_GB2312" w:hAnsi="仿宋_GB2312"/>
          <w:sz w:val="32"/>
          <w:szCs w:val="32"/>
        </w:rPr>
        <w:t>11</w:t>
      </w:r>
      <w:r w:rsidRPr="00F47DEC">
        <w:rPr>
          <w:rFonts w:ascii="仿宋_GB2312" w:hAnsi="仿宋_GB2312"/>
          <w:sz w:val="32"/>
          <w:szCs w:val="32"/>
        </w:rPr>
        <w:t>月</w:t>
      </w:r>
      <w:r w:rsidRPr="00F47DEC">
        <w:rPr>
          <w:rFonts w:ascii="仿宋_GB2312" w:hAnsi="仿宋_GB2312"/>
          <w:sz w:val="32"/>
          <w:szCs w:val="32"/>
        </w:rPr>
        <w:t>10</w:t>
      </w:r>
      <w:r w:rsidRPr="00F47DEC">
        <w:rPr>
          <w:rFonts w:ascii="仿宋_GB2312" w:hAnsi="仿宋_GB2312"/>
          <w:sz w:val="32"/>
          <w:szCs w:val="32"/>
        </w:rPr>
        <w:t>日成立，公</w:t>
      </w:r>
      <w:r>
        <w:rPr>
          <w:rFonts w:ascii="仿宋_GB2312" w:hAnsi="仿宋_GB2312"/>
          <w:sz w:val="32"/>
          <w:szCs w:val="32"/>
        </w:rPr>
        <w:t>司类型是全民所有制，公司法人代表为学校校友总会办公室主任杨能山，注册资本人民币贰千万元。</w:t>
      </w:r>
    </w:p>
    <w:p w:rsidR="00D32DBA" w:rsidRPr="00D32DBA" w:rsidRDefault="00D32DBA" w:rsidP="00D32DBA">
      <w:pPr>
        <w:autoSpaceDE w:val="0"/>
        <w:spacing w:line="560" w:lineRule="exact"/>
        <w:ind w:firstLineChars="200" w:firstLine="643"/>
        <w:rPr>
          <w:rFonts w:ascii="仿宋_GB2312" w:hAnsi="仿宋_GB2312" w:hint="eastAsia"/>
          <w:b/>
          <w:sz w:val="32"/>
          <w:szCs w:val="32"/>
        </w:rPr>
      </w:pPr>
      <w:r w:rsidRPr="00D32DBA">
        <w:rPr>
          <w:rFonts w:ascii="仿宋_GB2312" w:hAnsi="仿宋_GB2312" w:hint="eastAsia"/>
          <w:b/>
          <w:sz w:val="32"/>
          <w:szCs w:val="32"/>
        </w:rPr>
        <w:t>一、明确工作推进的目标任务</w:t>
      </w:r>
    </w:p>
    <w:p w:rsidR="00D32DBA" w:rsidRPr="00D32DBA" w:rsidRDefault="00D32DBA" w:rsidP="00D32DBA">
      <w:pPr>
        <w:autoSpaceDE w:val="0"/>
        <w:spacing w:line="560" w:lineRule="exact"/>
        <w:ind w:firstLineChars="200" w:firstLine="640"/>
        <w:rPr>
          <w:rFonts w:ascii="仿宋_GB2312" w:hAnsi="仿宋_GB2312"/>
          <w:sz w:val="32"/>
          <w:szCs w:val="32"/>
        </w:rPr>
      </w:pPr>
      <w:r w:rsidRPr="00D32DBA">
        <w:rPr>
          <w:rFonts w:ascii="仿宋_GB2312" w:hAnsi="仿宋_GB2312" w:hint="eastAsia"/>
          <w:sz w:val="32"/>
          <w:szCs w:val="32"/>
        </w:rPr>
        <w:t>2021</w:t>
      </w:r>
      <w:r w:rsidRPr="00D32DBA">
        <w:rPr>
          <w:rFonts w:ascii="仿宋_GB2312" w:hAnsi="仿宋_GB2312" w:hint="eastAsia"/>
          <w:sz w:val="32"/>
          <w:szCs w:val="32"/>
        </w:rPr>
        <w:t>年</w:t>
      </w:r>
      <w:r w:rsidRPr="00D32DBA">
        <w:rPr>
          <w:rFonts w:ascii="仿宋_GB2312" w:hAnsi="仿宋_GB2312" w:hint="eastAsia"/>
          <w:sz w:val="32"/>
          <w:szCs w:val="32"/>
        </w:rPr>
        <w:t>6</w:t>
      </w:r>
      <w:r w:rsidRPr="00D32DBA">
        <w:rPr>
          <w:rFonts w:ascii="仿宋_GB2312" w:hAnsi="仿宋_GB2312" w:hint="eastAsia"/>
          <w:sz w:val="32"/>
          <w:szCs w:val="32"/>
        </w:rPr>
        <w:t>月</w:t>
      </w:r>
      <w:r w:rsidRPr="00D32DBA">
        <w:rPr>
          <w:rFonts w:ascii="仿宋_GB2312" w:hAnsi="仿宋_GB2312" w:hint="eastAsia"/>
          <w:sz w:val="32"/>
          <w:szCs w:val="32"/>
        </w:rPr>
        <w:t>30</w:t>
      </w:r>
      <w:r w:rsidRPr="00D32DBA">
        <w:rPr>
          <w:rFonts w:ascii="仿宋_GB2312" w:hAnsi="仿宋_GB2312" w:hint="eastAsia"/>
          <w:sz w:val="32"/>
          <w:szCs w:val="32"/>
        </w:rPr>
        <w:t>日前清理关闭，按期完成改革任务。</w:t>
      </w:r>
    </w:p>
    <w:p w:rsidR="00D32DBA" w:rsidRDefault="00D32DBA" w:rsidP="00D32DBA">
      <w:pPr>
        <w:autoSpaceDE w:val="0"/>
        <w:spacing w:line="560" w:lineRule="exact"/>
        <w:ind w:firstLineChars="200" w:firstLine="643"/>
        <w:rPr>
          <w:rFonts w:ascii="楷体_GB2312" w:hAnsi="楷体_GB2312"/>
          <w:b/>
          <w:bCs/>
          <w:sz w:val="32"/>
          <w:szCs w:val="32"/>
        </w:rPr>
      </w:pPr>
      <w:r>
        <w:rPr>
          <w:rFonts w:ascii="楷体_GB2312" w:hAnsi="楷体_GB2312" w:hint="eastAsia"/>
          <w:b/>
          <w:bCs/>
          <w:sz w:val="32"/>
          <w:szCs w:val="32"/>
        </w:rPr>
        <w:t>二、已经完成的</w:t>
      </w:r>
      <w:r>
        <w:rPr>
          <w:rFonts w:ascii="楷体_GB2312" w:hAnsi="楷体_GB2312"/>
          <w:b/>
          <w:bCs/>
          <w:sz w:val="32"/>
          <w:szCs w:val="32"/>
        </w:rPr>
        <w:t>处置</w:t>
      </w:r>
      <w:r>
        <w:rPr>
          <w:rFonts w:ascii="楷体_GB2312" w:hAnsi="楷体_GB2312" w:hint="eastAsia"/>
          <w:b/>
          <w:bCs/>
          <w:sz w:val="32"/>
          <w:szCs w:val="32"/>
        </w:rPr>
        <w:t>工作</w:t>
      </w:r>
    </w:p>
    <w:p w:rsidR="00D32DBA" w:rsidRDefault="00D32DBA" w:rsidP="00D32DBA">
      <w:pPr>
        <w:autoSpaceDE w:val="0"/>
        <w:spacing w:line="560" w:lineRule="exact"/>
        <w:ind w:firstLineChars="200" w:firstLine="640"/>
        <w:rPr>
          <w:rFonts w:ascii="仿宋_GB2312" w:hAnsi="仿宋_GB2312"/>
          <w:sz w:val="32"/>
          <w:szCs w:val="32"/>
        </w:rPr>
      </w:pPr>
      <w:r>
        <w:rPr>
          <w:rFonts w:ascii="仿宋_GB2312" w:hAnsi="仿宋_GB2312"/>
          <w:sz w:val="32"/>
          <w:szCs w:val="32"/>
        </w:rPr>
        <w:t>按照注销的工作程序，学校已经完成了该企业的清产核资、债权债务的函询、任彩霞案件裁决、唐定武起诉案件的终止等工作任务，人员已经清理完毕，目前无需安置的人员，正在全力推进该公司承建学校的基建项目的决算工作，待该公司所有承接的项目办结决算，开立税务票据后，即可以办理税务清算，清算</w:t>
      </w:r>
      <w:proofErr w:type="gramStart"/>
      <w:r>
        <w:rPr>
          <w:rFonts w:ascii="仿宋_GB2312" w:hAnsi="仿宋_GB2312"/>
          <w:sz w:val="32"/>
          <w:szCs w:val="32"/>
        </w:rPr>
        <w:t>组才能</w:t>
      </w:r>
      <w:proofErr w:type="gramEnd"/>
      <w:r>
        <w:rPr>
          <w:rFonts w:ascii="仿宋_GB2312" w:hAnsi="仿宋_GB2312"/>
          <w:sz w:val="32"/>
          <w:szCs w:val="32"/>
        </w:rPr>
        <w:t>制定清算方案，按期注销到位。</w:t>
      </w:r>
    </w:p>
    <w:p w:rsidR="00D32DBA" w:rsidRDefault="004518D3" w:rsidP="00D32DBA">
      <w:pPr>
        <w:autoSpaceDE w:val="0"/>
        <w:spacing w:line="560" w:lineRule="exact"/>
        <w:ind w:firstLineChars="200" w:firstLine="643"/>
        <w:rPr>
          <w:rFonts w:ascii="楷体_GB2312" w:hAnsi="楷体_GB2312"/>
          <w:b/>
          <w:bCs/>
          <w:sz w:val="32"/>
          <w:szCs w:val="32"/>
        </w:rPr>
      </w:pPr>
      <w:r>
        <w:rPr>
          <w:rFonts w:ascii="楷体_GB2312" w:hAnsi="楷体_GB2312" w:hint="eastAsia"/>
          <w:b/>
          <w:bCs/>
          <w:sz w:val="32"/>
          <w:szCs w:val="32"/>
        </w:rPr>
        <w:t>三、具体措施和时间安排</w:t>
      </w:r>
    </w:p>
    <w:p w:rsidR="00D32DBA" w:rsidRDefault="00D32DBA" w:rsidP="00D32DBA">
      <w:pPr>
        <w:autoSpaceDE w:val="0"/>
        <w:spacing w:line="560" w:lineRule="exact"/>
        <w:ind w:firstLineChars="200" w:firstLine="640"/>
        <w:rPr>
          <w:rFonts w:ascii="仿宋_GB2312" w:hAnsi="仿宋_GB2312"/>
          <w:sz w:val="32"/>
          <w:szCs w:val="32"/>
        </w:rPr>
      </w:pPr>
      <w:r>
        <w:rPr>
          <w:rFonts w:ascii="仿宋_GB2312" w:hAnsi="仿宋_GB2312"/>
          <w:sz w:val="32"/>
          <w:szCs w:val="32"/>
        </w:rPr>
        <w:t>按照《湖南科技学院所属企业</w:t>
      </w:r>
      <w:r w:rsidR="00F47DEC">
        <w:rPr>
          <w:rFonts w:ascii="仿宋_GB2312" w:hAnsi="仿宋_GB2312" w:hint="eastAsia"/>
          <w:sz w:val="32"/>
          <w:szCs w:val="32"/>
        </w:rPr>
        <w:t>体制</w:t>
      </w:r>
      <w:r w:rsidR="00F47DEC">
        <w:rPr>
          <w:rFonts w:ascii="仿宋_GB2312" w:hAnsi="仿宋_GB2312"/>
          <w:sz w:val="32"/>
          <w:szCs w:val="32"/>
        </w:rPr>
        <w:t>改革工作</w:t>
      </w:r>
      <w:r>
        <w:rPr>
          <w:rFonts w:ascii="仿宋_GB2312" w:hAnsi="仿宋_GB2312"/>
          <w:sz w:val="32"/>
          <w:szCs w:val="32"/>
        </w:rPr>
        <w:t>方案》《湖南永大建设工程公司注销工作实施方案》的部署安排，</w:t>
      </w:r>
      <w:r w:rsidR="00F47DEC">
        <w:rPr>
          <w:rFonts w:ascii="仿宋_GB2312" w:hAnsi="仿宋_GB2312" w:hint="eastAsia"/>
          <w:sz w:val="32"/>
          <w:szCs w:val="32"/>
        </w:rPr>
        <w:t>分</w:t>
      </w:r>
      <w:r>
        <w:rPr>
          <w:rFonts w:ascii="仿宋_GB2312" w:hAnsi="仿宋_GB2312"/>
          <w:sz w:val="32"/>
          <w:szCs w:val="32"/>
        </w:rPr>
        <w:t>五个工作小组明确时间表、任务图，挂图作战，合力推进注销工作。具体情</w:t>
      </w:r>
      <w:r>
        <w:rPr>
          <w:rFonts w:ascii="仿宋_GB2312" w:hAnsi="仿宋_GB2312"/>
          <w:sz w:val="32"/>
          <w:szCs w:val="32"/>
        </w:rPr>
        <w:lastRenderedPageBreak/>
        <w:t>况如下：</w:t>
      </w:r>
    </w:p>
    <w:p w:rsidR="00D32DBA" w:rsidRDefault="00D32DBA" w:rsidP="00D32DBA">
      <w:pPr>
        <w:autoSpaceDE w:val="0"/>
        <w:spacing w:line="560" w:lineRule="exact"/>
        <w:ind w:firstLineChars="200" w:firstLine="643"/>
        <w:rPr>
          <w:rFonts w:ascii="仿宋_GB2312" w:hAnsi="仿宋_GB2312"/>
          <w:sz w:val="32"/>
          <w:szCs w:val="32"/>
        </w:rPr>
      </w:pPr>
      <w:r>
        <w:rPr>
          <w:rFonts w:ascii="仿宋_GB2312" w:hAnsi="仿宋_GB2312"/>
          <w:b/>
          <w:bCs/>
          <w:sz w:val="32"/>
          <w:szCs w:val="32"/>
        </w:rPr>
        <w:t>1.</w:t>
      </w:r>
      <w:r>
        <w:rPr>
          <w:rFonts w:ascii="仿宋_GB2312" w:hAnsi="仿宋_GB2312"/>
          <w:b/>
          <w:bCs/>
          <w:sz w:val="32"/>
          <w:szCs w:val="32"/>
        </w:rPr>
        <w:t>综合协调组</w:t>
      </w:r>
      <w:r>
        <w:rPr>
          <w:rFonts w:ascii="仿宋_GB2312" w:hAnsi="仿宋_GB2312"/>
          <w:sz w:val="32"/>
          <w:szCs w:val="32"/>
        </w:rPr>
        <w:t>：负责整个公司注销工作的总体推动、协调、督促、监督等工作。人员组成：刘东方、杨能山、黄栋、伍国平、熊明高、邓小霞。</w:t>
      </w:r>
      <w:r>
        <w:rPr>
          <w:rFonts w:ascii="仿宋_GB2312" w:hAnsi="仿宋_GB2312"/>
          <w:sz w:val="32"/>
          <w:szCs w:val="32"/>
        </w:rPr>
        <w:t>2021</w:t>
      </w:r>
      <w:r>
        <w:rPr>
          <w:rFonts w:ascii="仿宋_GB2312" w:hAnsi="仿宋_GB2312"/>
          <w:sz w:val="32"/>
          <w:szCs w:val="32"/>
        </w:rPr>
        <w:t>年</w:t>
      </w:r>
      <w:r w:rsidR="004518D3">
        <w:rPr>
          <w:rFonts w:ascii="仿宋_GB2312" w:hAnsi="仿宋_GB2312" w:hint="eastAsia"/>
          <w:sz w:val="32"/>
          <w:szCs w:val="32"/>
        </w:rPr>
        <w:t>6</w:t>
      </w:r>
      <w:r>
        <w:rPr>
          <w:rFonts w:ascii="仿宋_GB2312" w:hAnsi="仿宋_GB2312"/>
          <w:sz w:val="32"/>
          <w:szCs w:val="32"/>
        </w:rPr>
        <w:t>月</w:t>
      </w:r>
      <w:r w:rsidR="004518D3">
        <w:rPr>
          <w:rFonts w:ascii="仿宋_GB2312" w:hAnsi="仿宋_GB2312"/>
          <w:sz w:val="32"/>
          <w:szCs w:val="32"/>
        </w:rPr>
        <w:t>3</w:t>
      </w:r>
      <w:r w:rsidR="004518D3">
        <w:rPr>
          <w:rFonts w:ascii="仿宋_GB2312" w:hAnsi="仿宋_GB2312" w:hint="eastAsia"/>
          <w:sz w:val="32"/>
          <w:szCs w:val="32"/>
        </w:rPr>
        <w:t>0</w:t>
      </w:r>
      <w:r>
        <w:rPr>
          <w:rFonts w:ascii="仿宋_GB2312" w:hAnsi="仿宋_GB2312"/>
          <w:sz w:val="32"/>
          <w:szCs w:val="32"/>
        </w:rPr>
        <w:t>日前完成注销工作。</w:t>
      </w:r>
    </w:p>
    <w:p w:rsidR="00D32DBA" w:rsidRDefault="00F47DEC" w:rsidP="00D32DBA">
      <w:pPr>
        <w:autoSpaceDE w:val="0"/>
        <w:spacing w:line="560" w:lineRule="exact"/>
        <w:ind w:firstLineChars="200" w:firstLine="643"/>
        <w:rPr>
          <w:rFonts w:ascii="仿宋_GB2312" w:hAnsi="仿宋_GB2312"/>
          <w:sz w:val="32"/>
          <w:szCs w:val="32"/>
        </w:rPr>
      </w:pPr>
      <w:r>
        <w:rPr>
          <w:rFonts w:ascii="仿宋_GB2312" w:hAnsi="仿宋_GB2312" w:hint="eastAsia"/>
          <w:b/>
          <w:bCs/>
          <w:sz w:val="32"/>
          <w:szCs w:val="32"/>
        </w:rPr>
        <w:t>2.</w:t>
      </w:r>
      <w:r w:rsidR="00D32DBA">
        <w:rPr>
          <w:rFonts w:ascii="仿宋_GB2312" w:hAnsi="仿宋_GB2312"/>
          <w:b/>
          <w:bCs/>
          <w:sz w:val="32"/>
          <w:szCs w:val="32"/>
        </w:rPr>
        <w:t>债权债务清理、函询、追偿组</w:t>
      </w:r>
      <w:r w:rsidR="00D32DBA">
        <w:rPr>
          <w:rFonts w:ascii="仿宋_GB2312" w:hAnsi="仿宋_GB2312"/>
          <w:sz w:val="32"/>
          <w:szCs w:val="32"/>
        </w:rPr>
        <w:t>：负责债权债务的清理、函询，提出追偿方案，办理税务清算。人员组成：刘东方、吕小平、易前</w:t>
      </w:r>
      <w:proofErr w:type="gramStart"/>
      <w:r w:rsidR="00D32DBA">
        <w:rPr>
          <w:rFonts w:ascii="仿宋_GB2312" w:hAnsi="仿宋_GB2312"/>
          <w:sz w:val="32"/>
          <w:szCs w:val="32"/>
        </w:rPr>
        <w:t>汾</w:t>
      </w:r>
      <w:proofErr w:type="gramEnd"/>
      <w:r w:rsidR="00D32DBA">
        <w:rPr>
          <w:rFonts w:ascii="仿宋_GB2312" w:hAnsi="仿宋_GB2312"/>
          <w:sz w:val="32"/>
          <w:szCs w:val="32"/>
        </w:rPr>
        <w:t>、邓小霞。计划财务处吕小平为组长。预计</w:t>
      </w:r>
      <w:r w:rsidR="00D32DBA">
        <w:rPr>
          <w:rFonts w:ascii="仿宋_GB2312" w:hAnsi="仿宋_GB2312"/>
          <w:sz w:val="32"/>
          <w:szCs w:val="32"/>
        </w:rPr>
        <w:t>2020</w:t>
      </w:r>
      <w:r w:rsidR="00D32DBA">
        <w:rPr>
          <w:rFonts w:ascii="仿宋_GB2312" w:hAnsi="仿宋_GB2312"/>
          <w:sz w:val="32"/>
          <w:szCs w:val="32"/>
        </w:rPr>
        <w:t>年</w:t>
      </w:r>
      <w:r w:rsidR="004518D3">
        <w:rPr>
          <w:rFonts w:ascii="仿宋_GB2312" w:hAnsi="仿宋_GB2312" w:hint="eastAsia"/>
          <w:sz w:val="32"/>
          <w:szCs w:val="32"/>
        </w:rPr>
        <w:t>3</w:t>
      </w:r>
      <w:r w:rsidR="00D32DBA">
        <w:rPr>
          <w:rFonts w:ascii="仿宋_GB2312" w:hAnsi="仿宋_GB2312"/>
          <w:sz w:val="32"/>
          <w:szCs w:val="32"/>
        </w:rPr>
        <w:t>月底完成，并提交具体工作成果总结。</w:t>
      </w:r>
    </w:p>
    <w:p w:rsidR="00D32DBA" w:rsidRDefault="00D32DBA" w:rsidP="00D32DBA">
      <w:pPr>
        <w:autoSpaceDE w:val="0"/>
        <w:spacing w:line="560" w:lineRule="exact"/>
        <w:ind w:firstLineChars="200" w:firstLine="643"/>
        <w:rPr>
          <w:rFonts w:ascii="仿宋_GB2312" w:hAnsi="仿宋_GB2312"/>
          <w:sz w:val="32"/>
          <w:szCs w:val="32"/>
        </w:rPr>
      </w:pPr>
      <w:r>
        <w:rPr>
          <w:rFonts w:ascii="仿宋_GB2312" w:hAnsi="仿宋_GB2312"/>
          <w:b/>
          <w:bCs/>
          <w:sz w:val="32"/>
          <w:szCs w:val="32"/>
        </w:rPr>
        <w:t>3.</w:t>
      </w:r>
      <w:r>
        <w:rPr>
          <w:rFonts w:ascii="仿宋_GB2312" w:hAnsi="仿宋_GB2312"/>
          <w:b/>
          <w:bCs/>
          <w:sz w:val="32"/>
          <w:szCs w:val="32"/>
        </w:rPr>
        <w:t>项目结算组</w:t>
      </w:r>
      <w:r>
        <w:rPr>
          <w:rFonts w:ascii="仿宋_GB2312" w:hAnsi="仿宋_GB2312"/>
          <w:sz w:val="32"/>
          <w:szCs w:val="32"/>
        </w:rPr>
        <w:t>：协商办结永大建设工程公司负责学校施工的松园学生公寓（含附属工程）、松园学生食堂、</w:t>
      </w:r>
      <w:proofErr w:type="gramStart"/>
      <w:r>
        <w:rPr>
          <w:rFonts w:ascii="仿宋_GB2312" w:hAnsi="仿宋_GB2312"/>
          <w:sz w:val="32"/>
          <w:szCs w:val="32"/>
        </w:rPr>
        <w:t>音乐楼</w:t>
      </w:r>
      <w:proofErr w:type="gramEnd"/>
      <w:r>
        <w:rPr>
          <w:rFonts w:ascii="仿宋_GB2312" w:hAnsi="仿宋_GB2312"/>
          <w:sz w:val="32"/>
          <w:szCs w:val="32"/>
        </w:rPr>
        <w:t>主体及装修项目竣工结算，及其他公司结算遗留问题。人员组成：刘发全、唐卫华、朱敏、王林英、胡晓、吕小平及项目审计单位负责人。基建处刘发全为本项目组负责人，预计</w:t>
      </w:r>
      <w:r w:rsidR="004518D3">
        <w:rPr>
          <w:rFonts w:ascii="仿宋_GB2312" w:hAnsi="仿宋_GB2312"/>
          <w:sz w:val="32"/>
          <w:szCs w:val="32"/>
        </w:rPr>
        <w:t>202</w:t>
      </w:r>
      <w:r w:rsidR="004518D3">
        <w:rPr>
          <w:rFonts w:ascii="仿宋_GB2312" w:hAnsi="仿宋_GB2312" w:hint="eastAsia"/>
          <w:sz w:val="32"/>
          <w:szCs w:val="32"/>
        </w:rPr>
        <w:t>1</w:t>
      </w:r>
      <w:r>
        <w:rPr>
          <w:rFonts w:ascii="仿宋_GB2312" w:hAnsi="仿宋_GB2312"/>
          <w:sz w:val="32"/>
          <w:szCs w:val="32"/>
        </w:rPr>
        <w:t>年</w:t>
      </w:r>
      <w:r w:rsidR="004518D3">
        <w:rPr>
          <w:rFonts w:ascii="仿宋_GB2312" w:hAnsi="仿宋_GB2312" w:hint="eastAsia"/>
          <w:sz w:val="32"/>
          <w:szCs w:val="32"/>
        </w:rPr>
        <w:t>3</w:t>
      </w:r>
      <w:r>
        <w:rPr>
          <w:rFonts w:ascii="仿宋_GB2312" w:hAnsi="仿宋_GB2312"/>
          <w:sz w:val="32"/>
          <w:szCs w:val="32"/>
        </w:rPr>
        <w:t>月底完成，项目经理开具所有项目完整的增值税发票，用于结转固定资产。</w:t>
      </w:r>
    </w:p>
    <w:p w:rsidR="00D32DBA" w:rsidRDefault="00D32DBA" w:rsidP="00D32DBA">
      <w:pPr>
        <w:autoSpaceDE w:val="0"/>
        <w:spacing w:line="560" w:lineRule="exact"/>
        <w:ind w:firstLineChars="200" w:firstLine="643"/>
        <w:rPr>
          <w:rFonts w:ascii="仿宋_GB2312" w:hAnsi="仿宋_GB2312"/>
          <w:sz w:val="32"/>
          <w:szCs w:val="32"/>
        </w:rPr>
      </w:pPr>
      <w:r>
        <w:rPr>
          <w:rFonts w:ascii="仿宋_GB2312" w:hAnsi="仿宋_GB2312"/>
          <w:b/>
          <w:bCs/>
          <w:sz w:val="32"/>
          <w:szCs w:val="32"/>
        </w:rPr>
        <w:t>4.</w:t>
      </w:r>
      <w:r>
        <w:rPr>
          <w:rFonts w:ascii="仿宋_GB2312" w:hAnsi="仿宋_GB2312"/>
          <w:b/>
          <w:bCs/>
          <w:sz w:val="32"/>
          <w:szCs w:val="32"/>
        </w:rPr>
        <w:t>法院已裁决案件执行组</w:t>
      </w:r>
      <w:r>
        <w:rPr>
          <w:rFonts w:ascii="仿宋_GB2312" w:hAnsi="仿宋_GB2312"/>
          <w:sz w:val="32"/>
          <w:szCs w:val="32"/>
        </w:rPr>
        <w:t>：具体负责松园学生公寓、松园学生食堂诉讼案件的清理、协商、办结以及协调零陵区人民法院强制执行任彩霞钢管脚手架租金及赔偿款的追偿。人员组成：刘东方、熊明高、邓小霞。学校法律顾问成员熊明高具体负责，预计</w:t>
      </w:r>
      <w:r w:rsidR="004518D3">
        <w:rPr>
          <w:rFonts w:ascii="仿宋_GB2312" w:hAnsi="仿宋_GB2312"/>
          <w:sz w:val="32"/>
          <w:szCs w:val="32"/>
        </w:rPr>
        <w:t>202</w:t>
      </w:r>
      <w:r w:rsidR="004518D3">
        <w:rPr>
          <w:rFonts w:ascii="仿宋_GB2312" w:hAnsi="仿宋_GB2312" w:hint="eastAsia"/>
          <w:sz w:val="32"/>
          <w:szCs w:val="32"/>
        </w:rPr>
        <w:t>1</w:t>
      </w:r>
      <w:r>
        <w:rPr>
          <w:rFonts w:ascii="仿宋_GB2312" w:hAnsi="仿宋_GB2312"/>
          <w:sz w:val="32"/>
          <w:szCs w:val="32"/>
        </w:rPr>
        <w:t>年</w:t>
      </w:r>
      <w:r w:rsidR="004518D3">
        <w:rPr>
          <w:rFonts w:ascii="仿宋_GB2312" w:hAnsi="仿宋_GB2312" w:hint="eastAsia"/>
          <w:sz w:val="32"/>
          <w:szCs w:val="32"/>
        </w:rPr>
        <w:t>4</w:t>
      </w:r>
      <w:r>
        <w:rPr>
          <w:rFonts w:ascii="仿宋_GB2312" w:hAnsi="仿宋_GB2312"/>
          <w:sz w:val="32"/>
          <w:szCs w:val="32"/>
        </w:rPr>
        <w:t>月底有明确的工作结果。</w:t>
      </w:r>
    </w:p>
    <w:p w:rsidR="00D32DBA" w:rsidRDefault="00D32DBA" w:rsidP="00D32DBA">
      <w:pPr>
        <w:autoSpaceDE w:val="0"/>
        <w:spacing w:line="560" w:lineRule="exact"/>
        <w:ind w:firstLineChars="200" w:firstLine="643"/>
        <w:rPr>
          <w:rFonts w:ascii="仿宋_GB2312" w:hAnsi="仿宋_GB2312"/>
          <w:sz w:val="32"/>
          <w:szCs w:val="32"/>
        </w:rPr>
      </w:pPr>
      <w:r>
        <w:rPr>
          <w:rFonts w:ascii="仿宋_GB2312" w:hAnsi="仿宋_GB2312"/>
          <w:b/>
          <w:bCs/>
          <w:sz w:val="32"/>
          <w:szCs w:val="32"/>
        </w:rPr>
        <w:t>5.</w:t>
      </w:r>
      <w:r>
        <w:rPr>
          <w:rFonts w:ascii="仿宋_GB2312" w:hAnsi="仿宋_GB2312"/>
          <w:b/>
          <w:bCs/>
          <w:sz w:val="32"/>
          <w:szCs w:val="32"/>
        </w:rPr>
        <w:t>公司清算组</w:t>
      </w:r>
      <w:r>
        <w:rPr>
          <w:rFonts w:ascii="仿宋_GB2312" w:hAnsi="仿宋_GB2312"/>
          <w:sz w:val="32"/>
          <w:szCs w:val="32"/>
        </w:rPr>
        <w:t>：具体负责永大建筑公司注销登报、资产债权债务清算。人员组成：吴小林、杨能山、刘东方、吕小平、吕艳、胡晓。清算组组长：吴小林，由资产管理处刘东方具体实施管理。</w:t>
      </w:r>
      <w:r>
        <w:rPr>
          <w:rFonts w:ascii="仿宋_GB2312" w:hAnsi="仿宋_GB2312"/>
          <w:sz w:val="32"/>
          <w:szCs w:val="32"/>
        </w:rPr>
        <w:lastRenderedPageBreak/>
        <w:t>公司</w:t>
      </w:r>
      <w:r w:rsidR="00F47DEC">
        <w:rPr>
          <w:rFonts w:ascii="仿宋_GB2312" w:hAnsi="仿宋_GB2312" w:hint="eastAsia"/>
          <w:sz w:val="32"/>
          <w:szCs w:val="32"/>
        </w:rPr>
        <w:t>已</w:t>
      </w:r>
      <w:r>
        <w:rPr>
          <w:rFonts w:ascii="仿宋_GB2312" w:hAnsi="仿宋_GB2312"/>
          <w:sz w:val="32"/>
          <w:szCs w:val="32"/>
        </w:rPr>
        <w:t>于</w:t>
      </w:r>
      <w:r>
        <w:rPr>
          <w:rFonts w:ascii="仿宋_GB2312" w:hAnsi="仿宋_GB2312"/>
          <w:sz w:val="32"/>
          <w:szCs w:val="32"/>
        </w:rPr>
        <w:t>2020</w:t>
      </w:r>
      <w:r>
        <w:rPr>
          <w:rFonts w:ascii="仿宋_GB2312" w:hAnsi="仿宋_GB2312"/>
          <w:sz w:val="32"/>
          <w:szCs w:val="32"/>
        </w:rPr>
        <w:t>年</w:t>
      </w:r>
      <w:r>
        <w:rPr>
          <w:rFonts w:ascii="仿宋_GB2312" w:hAnsi="仿宋_GB2312"/>
          <w:sz w:val="32"/>
          <w:szCs w:val="32"/>
        </w:rPr>
        <w:t>9</w:t>
      </w:r>
      <w:r>
        <w:rPr>
          <w:rFonts w:ascii="仿宋_GB2312" w:hAnsi="仿宋_GB2312"/>
          <w:sz w:val="32"/>
          <w:szCs w:val="32"/>
        </w:rPr>
        <w:t>月</w:t>
      </w:r>
      <w:r>
        <w:rPr>
          <w:rFonts w:ascii="仿宋_GB2312" w:hAnsi="仿宋_GB2312"/>
          <w:sz w:val="32"/>
          <w:szCs w:val="32"/>
        </w:rPr>
        <w:t>24</w:t>
      </w:r>
      <w:r w:rsidR="00F47DEC">
        <w:rPr>
          <w:rFonts w:ascii="仿宋_GB2312" w:hAnsi="仿宋_GB2312"/>
          <w:sz w:val="32"/>
          <w:szCs w:val="32"/>
        </w:rPr>
        <w:t>日</w:t>
      </w:r>
      <w:r>
        <w:rPr>
          <w:rFonts w:ascii="仿宋_GB2312" w:hAnsi="仿宋_GB2312"/>
          <w:sz w:val="32"/>
          <w:szCs w:val="32"/>
        </w:rPr>
        <w:t>在《永州日报》发布注销公告，债权债务的受理登记时间于</w:t>
      </w:r>
      <w:r>
        <w:rPr>
          <w:rFonts w:ascii="仿宋_GB2312" w:hAnsi="仿宋_GB2312"/>
          <w:sz w:val="32"/>
          <w:szCs w:val="32"/>
        </w:rPr>
        <w:t>2020</w:t>
      </w:r>
      <w:r>
        <w:rPr>
          <w:rFonts w:ascii="仿宋_GB2312" w:hAnsi="仿宋_GB2312"/>
          <w:sz w:val="32"/>
          <w:szCs w:val="32"/>
        </w:rPr>
        <w:t>年</w:t>
      </w:r>
      <w:r>
        <w:rPr>
          <w:rFonts w:ascii="仿宋_GB2312" w:hAnsi="仿宋_GB2312"/>
          <w:sz w:val="32"/>
          <w:szCs w:val="32"/>
        </w:rPr>
        <w:t>11</w:t>
      </w:r>
      <w:r>
        <w:rPr>
          <w:rFonts w:ascii="仿宋_GB2312" w:hAnsi="仿宋_GB2312"/>
          <w:sz w:val="32"/>
          <w:szCs w:val="32"/>
        </w:rPr>
        <w:t>月</w:t>
      </w:r>
      <w:r>
        <w:rPr>
          <w:rFonts w:ascii="仿宋_GB2312" w:hAnsi="仿宋_GB2312"/>
          <w:sz w:val="32"/>
          <w:szCs w:val="32"/>
        </w:rPr>
        <w:t>9</w:t>
      </w:r>
      <w:r>
        <w:rPr>
          <w:rFonts w:ascii="仿宋_GB2312" w:hAnsi="仿宋_GB2312"/>
          <w:sz w:val="32"/>
          <w:szCs w:val="32"/>
        </w:rPr>
        <w:t>日已经截止。</w:t>
      </w:r>
    </w:p>
    <w:p w:rsidR="004518D3" w:rsidRPr="00010D1C" w:rsidRDefault="004518D3" w:rsidP="00010D1C">
      <w:pPr>
        <w:autoSpaceDE w:val="0"/>
        <w:spacing w:line="560" w:lineRule="exact"/>
        <w:ind w:firstLineChars="200" w:firstLine="643"/>
        <w:rPr>
          <w:rFonts w:ascii="仿宋_GB2312" w:hAnsi="仿宋_GB2312" w:hint="eastAsia"/>
          <w:b/>
          <w:sz w:val="32"/>
          <w:szCs w:val="32"/>
        </w:rPr>
      </w:pPr>
      <w:r w:rsidRPr="00010D1C">
        <w:rPr>
          <w:rFonts w:ascii="仿宋_GB2312" w:hAnsi="仿宋_GB2312" w:hint="eastAsia"/>
          <w:b/>
          <w:sz w:val="32"/>
          <w:szCs w:val="32"/>
        </w:rPr>
        <w:t>四、改革的工作机制</w:t>
      </w:r>
    </w:p>
    <w:p w:rsidR="004518D3" w:rsidRDefault="004518D3" w:rsidP="00D32DBA">
      <w:pPr>
        <w:autoSpaceDE w:val="0"/>
        <w:spacing w:line="560" w:lineRule="exact"/>
        <w:ind w:firstLineChars="200" w:firstLine="640"/>
        <w:rPr>
          <w:rFonts w:ascii="仿宋_GB2312" w:hAnsi="仿宋_GB2312" w:hint="eastAsia"/>
          <w:sz w:val="32"/>
          <w:szCs w:val="32"/>
        </w:rPr>
      </w:pPr>
      <w:r>
        <w:rPr>
          <w:rFonts w:ascii="仿宋_GB2312" w:hAnsi="仿宋_GB2312" w:hint="eastAsia"/>
          <w:sz w:val="32"/>
          <w:szCs w:val="32"/>
        </w:rPr>
        <w:t>学校</w:t>
      </w:r>
      <w:proofErr w:type="gramStart"/>
      <w:r>
        <w:rPr>
          <w:rFonts w:ascii="仿宋_GB2312" w:hAnsi="仿宋_GB2312" w:hint="eastAsia"/>
          <w:sz w:val="32"/>
          <w:szCs w:val="32"/>
        </w:rPr>
        <w:t>党委书记曾宝成</w:t>
      </w:r>
      <w:proofErr w:type="gramEnd"/>
      <w:r>
        <w:rPr>
          <w:rFonts w:ascii="仿宋_GB2312" w:hAnsi="仿宋_GB2312" w:hint="eastAsia"/>
          <w:sz w:val="32"/>
          <w:szCs w:val="32"/>
        </w:rPr>
        <w:t>、校长李钢为该企业体制改革第一负责人，分管副校长吴小林具体统筹领导处置工作，资产管理处负责全校所属企业的体制改革工作的落实。</w:t>
      </w:r>
    </w:p>
    <w:p w:rsidR="00D32DBA" w:rsidRDefault="00D32DBA" w:rsidP="004518D3">
      <w:pPr>
        <w:autoSpaceDE w:val="0"/>
        <w:spacing w:line="560" w:lineRule="exact"/>
        <w:ind w:firstLineChars="200" w:firstLine="640"/>
        <w:rPr>
          <w:rFonts w:ascii="仿宋_GB2312" w:hAnsi="仿宋_GB2312"/>
          <w:sz w:val="32"/>
          <w:szCs w:val="32"/>
        </w:rPr>
      </w:pPr>
      <w:r>
        <w:rPr>
          <w:rFonts w:ascii="仿宋_GB2312" w:hAnsi="仿宋_GB2312"/>
          <w:sz w:val="32"/>
          <w:szCs w:val="32"/>
        </w:rPr>
        <w:t>附件：</w:t>
      </w:r>
      <w:r>
        <w:rPr>
          <w:rFonts w:ascii="仿宋_GB2312" w:hAnsi="仿宋_GB2312"/>
          <w:sz w:val="32"/>
          <w:szCs w:val="32"/>
        </w:rPr>
        <w:t>1.</w:t>
      </w:r>
      <w:r w:rsidR="004518D3">
        <w:rPr>
          <w:rFonts w:ascii="仿宋_GB2312" w:hAnsi="仿宋_GB2312"/>
          <w:sz w:val="32"/>
          <w:szCs w:val="32"/>
        </w:rPr>
        <w:t xml:space="preserve"> </w:t>
      </w:r>
      <w:r>
        <w:rPr>
          <w:rFonts w:ascii="仿宋_GB2312" w:hAnsi="仿宋_GB2312"/>
          <w:sz w:val="32"/>
          <w:szCs w:val="32"/>
        </w:rPr>
        <w:t>公司制改革工作联系表</w:t>
      </w:r>
    </w:p>
    <w:p w:rsidR="00D32DBA" w:rsidRDefault="00D32DBA" w:rsidP="00D32DBA">
      <w:pPr>
        <w:autoSpaceDE w:val="0"/>
        <w:spacing w:line="560" w:lineRule="exact"/>
        <w:ind w:firstLineChars="200" w:firstLine="640"/>
        <w:rPr>
          <w:rFonts w:ascii="仿宋_GB2312" w:hAnsi="仿宋_GB2312"/>
          <w:sz w:val="32"/>
          <w:szCs w:val="32"/>
        </w:rPr>
      </w:pPr>
      <w:r>
        <w:rPr>
          <w:rFonts w:ascii="仿宋_GB2312" w:hAnsi="仿宋_GB2312"/>
          <w:sz w:val="32"/>
          <w:szCs w:val="32"/>
        </w:rPr>
        <w:t xml:space="preserve"> </w:t>
      </w:r>
    </w:p>
    <w:p w:rsidR="00D32DBA" w:rsidRDefault="00D32DBA" w:rsidP="00D32DBA">
      <w:pPr>
        <w:autoSpaceDE w:val="0"/>
        <w:spacing w:line="560" w:lineRule="exact"/>
        <w:ind w:firstLineChars="200" w:firstLine="640"/>
        <w:rPr>
          <w:rFonts w:ascii="仿宋_GB2312" w:hAnsi="仿宋_GB2312"/>
          <w:sz w:val="32"/>
          <w:szCs w:val="32"/>
        </w:rPr>
      </w:pPr>
      <w:r>
        <w:rPr>
          <w:rFonts w:ascii="仿宋_GB2312" w:hAnsi="仿宋_GB2312"/>
          <w:sz w:val="32"/>
          <w:szCs w:val="32"/>
        </w:rPr>
        <w:t xml:space="preserve"> </w:t>
      </w:r>
    </w:p>
    <w:p w:rsidR="00D32DBA" w:rsidRDefault="00D32DBA" w:rsidP="00D32DBA">
      <w:pPr>
        <w:autoSpaceDE w:val="0"/>
        <w:spacing w:line="560" w:lineRule="exact"/>
        <w:ind w:firstLineChars="200" w:firstLine="640"/>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湖南科技学院</w:t>
      </w:r>
    </w:p>
    <w:p w:rsidR="00D32DBA" w:rsidRDefault="00D32DBA" w:rsidP="00D32DBA">
      <w:pPr>
        <w:autoSpaceDE w:val="0"/>
        <w:spacing w:line="560" w:lineRule="exact"/>
        <w:ind w:firstLineChars="200" w:firstLine="640"/>
        <w:rPr>
          <w:rFonts w:ascii="仿宋_GB2312" w:hAnsi="仿宋_GB2312"/>
          <w:sz w:val="32"/>
          <w:szCs w:val="32"/>
        </w:rPr>
      </w:pPr>
      <w:r>
        <w:rPr>
          <w:rFonts w:ascii="仿宋_GB2312" w:hAnsi="仿宋_GB2312"/>
          <w:sz w:val="32"/>
          <w:szCs w:val="32"/>
        </w:rPr>
        <w:t xml:space="preserve">      </w:t>
      </w:r>
      <w:r w:rsidR="004518D3">
        <w:rPr>
          <w:rFonts w:ascii="仿宋_GB2312" w:hAnsi="仿宋_GB2312"/>
          <w:sz w:val="32"/>
          <w:szCs w:val="32"/>
        </w:rPr>
        <w:t xml:space="preserve">                          </w:t>
      </w:r>
      <w:r w:rsidR="00F47DEC">
        <w:rPr>
          <w:rFonts w:ascii="仿宋_GB2312" w:hAnsi="仿宋_GB2312" w:hint="eastAsia"/>
          <w:sz w:val="32"/>
          <w:szCs w:val="32"/>
        </w:rPr>
        <w:t xml:space="preserve"> </w:t>
      </w:r>
      <w:r w:rsidR="004518D3">
        <w:rPr>
          <w:rFonts w:ascii="仿宋_GB2312" w:hAnsi="仿宋_GB2312"/>
          <w:sz w:val="32"/>
          <w:szCs w:val="32"/>
        </w:rPr>
        <w:t xml:space="preserve">  202</w:t>
      </w:r>
      <w:r w:rsidR="004518D3">
        <w:rPr>
          <w:rFonts w:ascii="仿宋_GB2312" w:hAnsi="仿宋_GB2312" w:hint="eastAsia"/>
          <w:sz w:val="32"/>
          <w:szCs w:val="32"/>
        </w:rPr>
        <w:t>1</w:t>
      </w:r>
      <w:r>
        <w:rPr>
          <w:rFonts w:ascii="仿宋_GB2312" w:hAnsi="仿宋_GB2312"/>
          <w:sz w:val="32"/>
          <w:szCs w:val="32"/>
        </w:rPr>
        <w:t>年</w:t>
      </w:r>
      <w:r>
        <w:rPr>
          <w:rFonts w:ascii="仿宋_GB2312" w:hAnsi="仿宋_GB2312"/>
          <w:sz w:val="32"/>
          <w:szCs w:val="32"/>
        </w:rPr>
        <w:t>1</w:t>
      </w:r>
      <w:r>
        <w:rPr>
          <w:rFonts w:ascii="仿宋_GB2312" w:hAnsi="仿宋_GB2312"/>
          <w:sz w:val="32"/>
          <w:szCs w:val="32"/>
        </w:rPr>
        <w:t>月</w:t>
      </w:r>
      <w:r>
        <w:rPr>
          <w:rFonts w:ascii="仿宋_GB2312" w:hAnsi="仿宋_GB2312"/>
          <w:sz w:val="32"/>
          <w:szCs w:val="32"/>
        </w:rPr>
        <w:t>4</w:t>
      </w:r>
      <w:r>
        <w:rPr>
          <w:rFonts w:ascii="仿宋_GB2312" w:hAnsi="仿宋_GB2312"/>
          <w:sz w:val="32"/>
          <w:szCs w:val="32"/>
        </w:rPr>
        <w:t>日</w:t>
      </w:r>
    </w:p>
    <w:p w:rsidR="00D32DBA" w:rsidRDefault="00D32DBA" w:rsidP="00D32DBA">
      <w:pPr>
        <w:widowControl/>
        <w:jc w:val="left"/>
        <w:rPr>
          <w:rFonts w:ascii="黑体" w:eastAsia="黑体" w:hAnsi="黑体" w:cs="宋体"/>
          <w:sz w:val="32"/>
          <w:szCs w:val="32"/>
        </w:rPr>
        <w:sectPr w:rsidR="00D32DBA">
          <w:pgSz w:w="11906" w:h="16838"/>
          <w:pgMar w:top="2098" w:right="1474" w:bottom="1984" w:left="1587" w:header="720" w:footer="720" w:gutter="0"/>
          <w:cols w:space="720"/>
          <w:docGrid w:type="lines" w:linePitch="312"/>
        </w:sectPr>
      </w:pPr>
    </w:p>
    <w:p w:rsidR="004518D3" w:rsidRDefault="004518D3" w:rsidP="00D32DBA">
      <w:pPr>
        <w:rPr>
          <w:rFonts w:ascii="黑体" w:eastAsia="黑体" w:hAnsi="黑体" w:hint="eastAsia"/>
          <w:sz w:val="32"/>
          <w:szCs w:val="32"/>
        </w:rPr>
      </w:pPr>
    </w:p>
    <w:p w:rsidR="004518D3" w:rsidRDefault="004518D3" w:rsidP="00D32DBA">
      <w:pPr>
        <w:rPr>
          <w:rFonts w:ascii="黑体" w:eastAsia="黑体" w:hAnsi="黑体" w:hint="eastAsia"/>
          <w:sz w:val="32"/>
          <w:szCs w:val="32"/>
        </w:rPr>
      </w:pPr>
    </w:p>
    <w:p w:rsidR="00010D1C" w:rsidRDefault="00D32DBA" w:rsidP="00010D1C">
      <w:pPr>
        <w:autoSpaceDE w:val="0"/>
        <w:spacing w:line="560" w:lineRule="exact"/>
        <w:rPr>
          <w:rFonts w:ascii="仿宋_GB2312" w:hAnsi="仿宋_GB2312"/>
          <w:sz w:val="32"/>
          <w:szCs w:val="32"/>
        </w:rPr>
      </w:pPr>
      <w:r>
        <w:rPr>
          <w:rFonts w:ascii="黑体" w:eastAsia="黑体" w:hAnsi="黑体" w:hint="eastAsia"/>
          <w:sz w:val="32"/>
          <w:szCs w:val="32"/>
        </w:rPr>
        <w:t>附件1</w:t>
      </w:r>
      <w:r w:rsidR="00010D1C">
        <w:rPr>
          <w:rFonts w:ascii="黑体" w:eastAsia="黑体" w:hAnsi="黑体" w:hint="eastAsia"/>
          <w:sz w:val="32"/>
          <w:szCs w:val="32"/>
        </w:rPr>
        <w:t>：</w:t>
      </w:r>
      <w:r w:rsidR="00010D1C">
        <w:rPr>
          <w:rFonts w:ascii="仿宋_GB2312" w:hAnsi="仿宋_GB2312"/>
          <w:sz w:val="32"/>
          <w:szCs w:val="32"/>
        </w:rPr>
        <w:t>公司制改革工作联系表</w:t>
      </w:r>
    </w:p>
    <w:p w:rsidR="00D32DBA" w:rsidRDefault="00D32DBA" w:rsidP="00D32DBA">
      <w:pPr>
        <w:rPr>
          <w:rFonts w:hint="eastAsia"/>
          <w:sz w:val="24"/>
          <w:szCs w:val="24"/>
        </w:rPr>
      </w:pPr>
      <w:r>
        <w:rPr>
          <w:rFonts w:ascii="宋体" w:hAnsi="宋体" w:hint="eastAsia"/>
          <w:sz w:val="24"/>
          <w:szCs w:val="24"/>
        </w:rPr>
        <w:t>单位名称：</w:t>
      </w:r>
      <w:r>
        <w:rPr>
          <w:rFonts w:hint="eastAsia"/>
          <w:sz w:val="24"/>
          <w:szCs w:val="24"/>
          <w:u w:val="single"/>
        </w:rPr>
        <w:t xml:space="preserve">         </w:t>
      </w:r>
      <w:r>
        <w:rPr>
          <w:rFonts w:ascii="宋体" w:hAnsi="宋体" w:hint="eastAsia"/>
          <w:sz w:val="24"/>
          <w:szCs w:val="24"/>
          <w:u w:val="single"/>
        </w:rPr>
        <w:t>湖南科技学院</w:t>
      </w:r>
      <w:r>
        <w:rPr>
          <w:rFonts w:hint="eastAsia"/>
          <w:sz w:val="24"/>
          <w:szCs w:val="24"/>
          <w:u w:val="single"/>
        </w:rPr>
        <w:t xml:space="preserve">      </w:t>
      </w:r>
      <w:r>
        <w:rPr>
          <w:rFonts w:hint="eastAsia"/>
          <w:sz w:val="24"/>
          <w:szCs w:val="24"/>
        </w:rPr>
        <w:t xml:space="preserve">     </w:t>
      </w:r>
    </w:p>
    <w:p w:rsidR="00D32DBA" w:rsidRDefault="00D32DBA" w:rsidP="00D32DBA">
      <w:pPr>
        <w:jc w:val="center"/>
        <w:rPr>
          <w:rFonts w:hint="eastAsia"/>
        </w:rPr>
      </w:pPr>
      <w:r>
        <w:rPr>
          <w:rFonts w:hint="eastAsia"/>
        </w:rPr>
        <w:t xml:space="preserve"> </w:t>
      </w:r>
    </w:p>
    <w:tbl>
      <w:tblPr>
        <w:tblStyle w:val="a3"/>
        <w:tblW w:w="0" w:type="auto"/>
        <w:tblInd w:w="0" w:type="dxa"/>
        <w:tblLook w:val="04A0"/>
      </w:tblPr>
      <w:tblGrid>
        <w:gridCol w:w="770"/>
        <w:gridCol w:w="1112"/>
        <w:gridCol w:w="1831"/>
        <w:gridCol w:w="1317"/>
        <w:gridCol w:w="1746"/>
        <w:gridCol w:w="1746"/>
      </w:tblGrid>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vAlign w:val="center"/>
            <w:hideMark/>
          </w:tcPr>
          <w:p w:rsidR="00D32DBA" w:rsidRDefault="00D32DBA">
            <w:pPr>
              <w:jc w:val="center"/>
              <w:rPr>
                <w:kern w:val="2"/>
                <w:sz w:val="21"/>
              </w:rPr>
            </w:pPr>
            <w:r>
              <w:rPr>
                <w:rFonts w:hint="eastAsia"/>
              </w:rPr>
              <w:t>序号</w:t>
            </w:r>
          </w:p>
        </w:tc>
        <w:tc>
          <w:tcPr>
            <w:tcW w:w="2150" w:type="dxa"/>
            <w:tcBorders>
              <w:top w:val="single" w:sz="4" w:space="0" w:color="auto"/>
              <w:left w:val="nil"/>
              <w:bottom w:val="single" w:sz="4" w:space="0" w:color="auto"/>
              <w:right w:val="single" w:sz="4" w:space="0" w:color="auto"/>
            </w:tcBorders>
            <w:vAlign w:val="center"/>
            <w:hideMark/>
          </w:tcPr>
          <w:p w:rsidR="00D32DBA" w:rsidRDefault="00D32DBA">
            <w:pPr>
              <w:jc w:val="center"/>
              <w:rPr>
                <w:kern w:val="2"/>
                <w:sz w:val="21"/>
              </w:rPr>
            </w:pPr>
            <w:r>
              <w:rPr>
                <w:rFonts w:hint="eastAsia"/>
              </w:rPr>
              <w:t>姓名</w:t>
            </w:r>
          </w:p>
        </w:tc>
        <w:tc>
          <w:tcPr>
            <w:tcW w:w="3641" w:type="dxa"/>
            <w:tcBorders>
              <w:top w:val="single" w:sz="4" w:space="0" w:color="auto"/>
              <w:left w:val="nil"/>
              <w:bottom w:val="single" w:sz="4" w:space="0" w:color="auto"/>
              <w:right w:val="single" w:sz="4" w:space="0" w:color="auto"/>
            </w:tcBorders>
            <w:vAlign w:val="center"/>
            <w:hideMark/>
          </w:tcPr>
          <w:p w:rsidR="00D32DBA" w:rsidRDefault="00D32DBA">
            <w:pPr>
              <w:jc w:val="center"/>
              <w:rPr>
                <w:kern w:val="2"/>
                <w:sz w:val="21"/>
              </w:rPr>
            </w:pPr>
            <w:r>
              <w:rPr>
                <w:rFonts w:hint="eastAsia"/>
              </w:rPr>
              <w:t>部门（司局）</w:t>
            </w:r>
          </w:p>
        </w:tc>
        <w:tc>
          <w:tcPr>
            <w:tcW w:w="2362" w:type="dxa"/>
            <w:tcBorders>
              <w:top w:val="single" w:sz="4" w:space="0" w:color="auto"/>
              <w:left w:val="nil"/>
              <w:bottom w:val="single" w:sz="4" w:space="0" w:color="auto"/>
              <w:right w:val="single" w:sz="4" w:space="0" w:color="auto"/>
            </w:tcBorders>
            <w:vAlign w:val="center"/>
            <w:hideMark/>
          </w:tcPr>
          <w:p w:rsidR="00D32DBA" w:rsidRDefault="00D32DBA">
            <w:pPr>
              <w:jc w:val="center"/>
              <w:rPr>
                <w:kern w:val="2"/>
                <w:sz w:val="21"/>
              </w:rPr>
            </w:pPr>
            <w:r>
              <w:rPr>
                <w:rFonts w:hint="eastAsia"/>
              </w:rPr>
              <w:t>职务</w:t>
            </w:r>
          </w:p>
        </w:tc>
        <w:tc>
          <w:tcPr>
            <w:tcW w:w="2363" w:type="dxa"/>
            <w:tcBorders>
              <w:top w:val="single" w:sz="4" w:space="0" w:color="auto"/>
              <w:left w:val="nil"/>
              <w:bottom w:val="single" w:sz="4" w:space="0" w:color="auto"/>
              <w:right w:val="single" w:sz="4" w:space="0" w:color="auto"/>
            </w:tcBorders>
            <w:vAlign w:val="center"/>
            <w:hideMark/>
          </w:tcPr>
          <w:p w:rsidR="00D32DBA" w:rsidRDefault="00D32DBA">
            <w:pPr>
              <w:jc w:val="center"/>
              <w:rPr>
                <w:kern w:val="2"/>
                <w:sz w:val="21"/>
              </w:rPr>
            </w:pPr>
            <w:r>
              <w:rPr>
                <w:rFonts w:hint="eastAsia"/>
              </w:rPr>
              <w:t>办公电话</w:t>
            </w:r>
          </w:p>
        </w:tc>
        <w:tc>
          <w:tcPr>
            <w:tcW w:w="2363" w:type="dxa"/>
            <w:tcBorders>
              <w:top w:val="single" w:sz="4" w:space="0" w:color="auto"/>
              <w:left w:val="nil"/>
              <w:bottom w:val="single" w:sz="4" w:space="0" w:color="auto"/>
              <w:right w:val="single" w:sz="4" w:space="0" w:color="auto"/>
            </w:tcBorders>
            <w:vAlign w:val="center"/>
            <w:hideMark/>
          </w:tcPr>
          <w:p w:rsidR="00D32DBA" w:rsidRDefault="00D32DBA">
            <w:pPr>
              <w:jc w:val="center"/>
              <w:rPr>
                <w:kern w:val="2"/>
                <w:sz w:val="21"/>
              </w:rPr>
            </w:pPr>
            <w:r>
              <w:rPr>
                <w:rFonts w:hint="eastAsia"/>
              </w:rPr>
              <w:t>手机</w:t>
            </w: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hideMark/>
          </w:tcPr>
          <w:p w:rsidR="00D32DBA" w:rsidRDefault="00D32DBA">
            <w:pPr>
              <w:jc w:val="center"/>
              <w:rPr>
                <w:kern w:val="2"/>
                <w:sz w:val="21"/>
              </w:rPr>
            </w:pPr>
            <w:r>
              <w:rPr>
                <w:rFonts w:hint="eastAsia"/>
              </w:rPr>
              <w:t>1</w:t>
            </w:r>
          </w:p>
        </w:tc>
        <w:tc>
          <w:tcPr>
            <w:tcW w:w="2150"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proofErr w:type="gramStart"/>
            <w:r>
              <w:rPr>
                <w:rFonts w:hint="eastAsia"/>
              </w:rPr>
              <w:t>曾宝成</w:t>
            </w:r>
            <w:proofErr w:type="gramEnd"/>
          </w:p>
        </w:tc>
        <w:tc>
          <w:tcPr>
            <w:tcW w:w="3641"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学校</w:t>
            </w:r>
          </w:p>
        </w:tc>
        <w:tc>
          <w:tcPr>
            <w:tcW w:w="2362"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党委书记</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07466381001</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13807462668</w:t>
            </w: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hideMark/>
          </w:tcPr>
          <w:p w:rsidR="00D32DBA" w:rsidRDefault="00D32DBA">
            <w:pPr>
              <w:jc w:val="center"/>
              <w:rPr>
                <w:kern w:val="2"/>
                <w:sz w:val="21"/>
              </w:rPr>
            </w:pPr>
            <w:r>
              <w:rPr>
                <w:rFonts w:hint="eastAsia"/>
              </w:rPr>
              <w:t>2</w:t>
            </w:r>
          </w:p>
        </w:tc>
        <w:tc>
          <w:tcPr>
            <w:tcW w:w="2150"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李</w:t>
            </w:r>
            <w:r>
              <w:rPr>
                <w:rFonts w:hint="eastAsia"/>
              </w:rPr>
              <w:t xml:space="preserve">  </w:t>
            </w:r>
            <w:r>
              <w:rPr>
                <w:rFonts w:hint="eastAsia"/>
              </w:rPr>
              <w:t>钢</w:t>
            </w:r>
          </w:p>
        </w:tc>
        <w:tc>
          <w:tcPr>
            <w:tcW w:w="3641"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学校</w:t>
            </w:r>
          </w:p>
        </w:tc>
        <w:tc>
          <w:tcPr>
            <w:tcW w:w="2362"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校长</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07466381002</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13707469189</w:t>
            </w: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hideMark/>
          </w:tcPr>
          <w:p w:rsidR="00D32DBA" w:rsidRDefault="00D32DBA">
            <w:pPr>
              <w:jc w:val="center"/>
              <w:rPr>
                <w:kern w:val="2"/>
                <w:sz w:val="21"/>
              </w:rPr>
            </w:pPr>
            <w:r>
              <w:rPr>
                <w:rFonts w:hint="eastAsia"/>
              </w:rPr>
              <w:t>3</w:t>
            </w:r>
          </w:p>
        </w:tc>
        <w:tc>
          <w:tcPr>
            <w:tcW w:w="2150"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吴小林</w:t>
            </w:r>
          </w:p>
        </w:tc>
        <w:tc>
          <w:tcPr>
            <w:tcW w:w="3641"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学校</w:t>
            </w:r>
          </w:p>
        </w:tc>
        <w:tc>
          <w:tcPr>
            <w:tcW w:w="2362"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分管副校长</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07466382276</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13707461760</w:t>
            </w: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hideMark/>
          </w:tcPr>
          <w:p w:rsidR="00D32DBA" w:rsidRDefault="00D32DBA">
            <w:pPr>
              <w:jc w:val="center"/>
              <w:rPr>
                <w:kern w:val="2"/>
                <w:sz w:val="21"/>
              </w:rPr>
            </w:pPr>
            <w:r>
              <w:rPr>
                <w:rFonts w:hint="eastAsia"/>
              </w:rPr>
              <w:t>4</w:t>
            </w:r>
          </w:p>
        </w:tc>
        <w:tc>
          <w:tcPr>
            <w:tcW w:w="2150"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刘东方</w:t>
            </w:r>
          </w:p>
        </w:tc>
        <w:tc>
          <w:tcPr>
            <w:tcW w:w="3641"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资产管理处</w:t>
            </w:r>
          </w:p>
        </w:tc>
        <w:tc>
          <w:tcPr>
            <w:tcW w:w="2362"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副处长（主持工作）</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07466382593</w:t>
            </w:r>
          </w:p>
        </w:tc>
        <w:tc>
          <w:tcPr>
            <w:tcW w:w="2363" w:type="dxa"/>
            <w:tcBorders>
              <w:top w:val="single" w:sz="4" w:space="0" w:color="auto"/>
              <w:left w:val="nil"/>
              <w:bottom w:val="single" w:sz="4" w:space="0" w:color="auto"/>
              <w:right w:val="single" w:sz="4" w:space="0" w:color="auto"/>
            </w:tcBorders>
            <w:hideMark/>
          </w:tcPr>
          <w:p w:rsidR="00D32DBA" w:rsidRDefault="00D32DBA">
            <w:pPr>
              <w:jc w:val="center"/>
              <w:rPr>
                <w:kern w:val="2"/>
                <w:sz w:val="21"/>
              </w:rPr>
            </w:pPr>
            <w:r>
              <w:rPr>
                <w:rFonts w:hint="eastAsia"/>
              </w:rPr>
              <w:t>15907489599</w:t>
            </w: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tcPr>
          <w:p w:rsidR="00D32DBA" w:rsidRDefault="00D32DBA">
            <w:pPr>
              <w:jc w:val="center"/>
              <w:rPr>
                <w:kern w:val="2"/>
                <w:sz w:val="21"/>
              </w:rPr>
            </w:pPr>
          </w:p>
        </w:tc>
        <w:tc>
          <w:tcPr>
            <w:tcW w:w="2150"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3641"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2"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3"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3"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tcPr>
          <w:p w:rsidR="00D32DBA" w:rsidRDefault="00D32DBA">
            <w:pPr>
              <w:jc w:val="center"/>
              <w:rPr>
                <w:kern w:val="2"/>
                <w:sz w:val="21"/>
              </w:rPr>
            </w:pPr>
          </w:p>
        </w:tc>
        <w:tc>
          <w:tcPr>
            <w:tcW w:w="2150"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3641"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2"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3"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3"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r>
      <w:tr w:rsidR="00D32DBA" w:rsidTr="00D32DBA">
        <w:trPr>
          <w:trHeight w:val="454"/>
        </w:trPr>
        <w:tc>
          <w:tcPr>
            <w:tcW w:w="1295" w:type="dxa"/>
            <w:tcBorders>
              <w:top w:val="single" w:sz="4" w:space="0" w:color="auto"/>
              <w:left w:val="single" w:sz="4" w:space="0" w:color="auto"/>
              <w:bottom w:val="single" w:sz="4" w:space="0" w:color="auto"/>
              <w:right w:val="single" w:sz="4" w:space="0" w:color="auto"/>
            </w:tcBorders>
          </w:tcPr>
          <w:p w:rsidR="00D32DBA" w:rsidRDefault="00D32DBA">
            <w:pPr>
              <w:jc w:val="center"/>
              <w:rPr>
                <w:kern w:val="2"/>
                <w:sz w:val="21"/>
              </w:rPr>
            </w:pPr>
          </w:p>
        </w:tc>
        <w:tc>
          <w:tcPr>
            <w:tcW w:w="2150"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3641"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2"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3"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c>
          <w:tcPr>
            <w:tcW w:w="2363" w:type="dxa"/>
            <w:tcBorders>
              <w:top w:val="single" w:sz="4" w:space="0" w:color="auto"/>
              <w:left w:val="nil"/>
              <w:bottom w:val="single" w:sz="4" w:space="0" w:color="auto"/>
              <w:right w:val="single" w:sz="4" w:space="0" w:color="auto"/>
            </w:tcBorders>
          </w:tcPr>
          <w:p w:rsidR="00D32DBA" w:rsidRDefault="00D32DBA">
            <w:pPr>
              <w:jc w:val="center"/>
              <w:rPr>
                <w:kern w:val="2"/>
                <w:sz w:val="21"/>
              </w:rPr>
            </w:pPr>
          </w:p>
        </w:tc>
      </w:tr>
    </w:tbl>
    <w:p w:rsidR="00D32DBA" w:rsidRDefault="00D32DBA" w:rsidP="00D32DBA">
      <w:pPr>
        <w:jc w:val="center"/>
        <w:rPr>
          <w:rFonts w:hint="eastAsia"/>
        </w:rPr>
      </w:pPr>
      <w:r>
        <w:t xml:space="preserve"> </w:t>
      </w:r>
    </w:p>
    <w:p w:rsidR="00D32DBA" w:rsidRDefault="00D32DBA" w:rsidP="00D32DBA">
      <w:pPr>
        <w:autoSpaceDE w:val="0"/>
        <w:spacing w:line="560" w:lineRule="exact"/>
        <w:ind w:firstLineChars="200" w:firstLine="640"/>
        <w:rPr>
          <w:rFonts w:ascii="仿宋_GB2312" w:hAnsi="仿宋_GB2312"/>
          <w:sz w:val="32"/>
          <w:szCs w:val="32"/>
        </w:rPr>
      </w:pPr>
    </w:p>
    <w:p w:rsidR="004B678D" w:rsidRPr="00D32DBA" w:rsidRDefault="004B678D"/>
    <w:sectPr w:rsidR="004B678D" w:rsidRPr="00D32DBA" w:rsidSect="004B67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821B2"/>
    <w:multiLevelType w:val="multilevel"/>
    <w:tmpl w:val="9CDC2F7C"/>
    <w:lvl w:ilvl="0">
      <w:start w:val="2"/>
      <w:numFmt w:val="decimal"/>
      <w:lvlText w:val="%1."/>
      <w:lvlJc w:val="left"/>
      <w:pPr>
        <w:tabs>
          <w:tab w:val="num" w:pos="312"/>
        </w:tabs>
        <w:ind w:left="42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DBA"/>
    <w:rsid w:val="00010D1C"/>
    <w:rsid w:val="004518D3"/>
    <w:rsid w:val="004B678D"/>
    <w:rsid w:val="00D32DBA"/>
    <w:rsid w:val="00F47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B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D32DBA"/>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2DBA"/>
    <w:pPr>
      <w:ind w:firstLineChars="200" w:firstLine="420"/>
    </w:pPr>
  </w:style>
</w:styles>
</file>

<file path=word/webSettings.xml><?xml version="1.0" encoding="utf-8"?>
<w:webSettings xmlns:r="http://schemas.openxmlformats.org/officeDocument/2006/relationships" xmlns:w="http://schemas.openxmlformats.org/wordprocessingml/2006/main">
  <w:divs>
    <w:div w:id="21289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234</Words>
  <Characters>1338</Characters>
  <Application>Microsoft Office Word</Application>
  <DocSecurity>0</DocSecurity>
  <Lines>11</Lines>
  <Paragraphs>3</Paragraphs>
  <ScaleCrop>false</ScaleCrop>
  <Company>China</Company>
  <LinksUpToDate>false</LinksUpToDate>
  <CharactersWithSpaces>1569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2021-01-04T00:33:00Z</dcterms:created>
  <dc:creator>User</dc:creator>
  <lastModifiedBy>User</lastModifiedBy>
  <dcterms:modified xsi:type="dcterms:W3CDTF">2021-01-04T00:58:00Z</dcterms:modified>
  <revision>2</revision>
</coreProperties>
</file>